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5" w:rsidRDefault="00C143E5" w:rsidP="00C143E5">
      <w:pPr>
        <w:pStyle w:val="pt-a"/>
        <w:spacing w:before="0" w:beforeAutospacing="0" w:after="0" w:afterAutospacing="0" w:line="435" w:lineRule="atLeast"/>
        <w:jc w:val="right"/>
        <w:rPr>
          <w:rFonts w:ascii="Times New Roman CYR" w:hAnsi="Times New Roman CYR"/>
          <w:color w:val="000000"/>
          <w:sz w:val="29"/>
          <w:szCs w:val="29"/>
        </w:rPr>
      </w:pPr>
      <w:r>
        <w:rPr>
          <w:rStyle w:val="pt-a0"/>
          <w:rFonts w:ascii="Times New Roman CYR" w:hAnsi="Times New Roman CYR"/>
          <w:color w:val="000000"/>
          <w:sz w:val="29"/>
          <w:szCs w:val="29"/>
        </w:rPr>
        <w:t>Проект</w:t>
      </w:r>
    </w:p>
    <w:p w:rsidR="00C143E5" w:rsidRDefault="00C143E5" w:rsidP="00C143E5">
      <w:pPr>
        <w:pStyle w:val="pt-a-000000"/>
        <w:spacing w:before="0" w:beforeAutospacing="0" w:after="0" w:afterAutospacing="0" w:line="435" w:lineRule="atLeast"/>
        <w:jc w:val="center"/>
        <w:rPr>
          <w:rFonts w:ascii="Times New Roman CYR" w:hAnsi="Times New Roman CYR"/>
          <w:color w:val="000000"/>
          <w:sz w:val="29"/>
          <w:szCs w:val="29"/>
        </w:rPr>
      </w:pPr>
      <w:r>
        <w:rPr>
          <w:rStyle w:val="pt-a0-000001"/>
          <w:rFonts w:ascii="Times New Roman CYR" w:hAnsi="Times New Roman CYR"/>
          <w:b/>
          <w:bCs/>
          <w:color w:val="000000"/>
          <w:sz w:val="29"/>
          <w:szCs w:val="29"/>
        </w:rPr>
        <w:t>ПРАВИТЕЛЬСТВО РОССИЙСКОЙ ФЕДЕРАЦИИ</w:t>
      </w:r>
    </w:p>
    <w:p w:rsidR="00C143E5" w:rsidRDefault="00C143E5" w:rsidP="00C143E5">
      <w:pPr>
        <w:pStyle w:val="pt-a-000000"/>
        <w:spacing w:before="0" w:beforeAutospacing="0" w:after="0" w:afterAutospacing="0" w:line="435" w:lineRule="atLeast"/>
        <w:jc w:val="center"/>
        <w:rPr>
          <w:rFonts w:ascii="Times New Roman CYR" w:hAnsi="Times New Roman CYR"/>
          <w:color w:val="000000"/>
          <w:sz w:val="29"/>
          <w:szCs w:val="29"/>
        </w:rPr>
      </w:pPr>
      <w:proofErr w:type="gramStart"/>
      <w:r>
        <w:rPr>
          <w:rStyle w:val="pt-a0"/>
          <w:rFonts w:ascii="Times New Roman CYR" w:hAnsi="Times New Roman CYR"/>
          <w:color w:val="000000"/>
          <w:sz w:val="29"/>
          <w:szCs w:val="29"/>
        </w:rPr>
        <w:t>П</w:t>
      </w:r>
      <w:proofErr w:type="gramEnd"/>
      <w:r>
        <w:rPr>
          <w:rStyle w:val="pt-a0"/>
          <w:rFonts w:ascii="Times New Roman CYR" w:hAnsi="Times New Roman CYR"/>
          <w:color w:val="000000"/>
          <w:sz w:val="29"/>
          <w:szCs w:val="29"/>
        </w:rPr>
        <w:t xml:space="preserve"> О С Т А Н О В Л Е Н И Е</w:t>
      </w:r>
    </w:p>
    <w:p w:rsidR="00C143E5" w:rsidRDefault="00C143E5" w:rsidP="00C143E5">
      <w:pPr>
        <w:pStyle w:val="pt-a-000003"/>
        <w:spacing w:before="0" w:beforeAutospacing="0" w:after="0" w:afterAutospacing="0" w:line="360" w:lineRule="atLeast"/>
        <w:jc w:val="center"/>
        <w:rPr>
          <w:rFonts w:ascii="Times New Roman CYR" w:hAnsi="Times New Roman CYR"/>
          <w:color w:val="000000"/>
          <w:sz w:val="29"/>
          <w:szCs w:val="29"/>
        </w:rPr>
      </w:pPr>
      <w:r>
        <w:rPr>
          <w:rStyle w:val="pt-a0"/>
          <w:rFonts w:ascii="Times New Roman CYR" w:hAnsi="Times New Roman CYR"/>
          <w:color w:val="000000"/>
          <w:sz w:val="29"/>
          <w:szCs w:val="29"/>
        </w:rPr>
        <w:t xml:space="preserve">от 2017 г. № </w:t>
      </w:r>
    </w:p>
    <w:p w:rsidR="00C143E5" w:rsidRDefault="00C143E5" w:rsidP="00C143E5">
      <w:pPr>
        <w:pStyle w:val="pt-a-000003"/>
        <w:spacing w:before="0" w:beforeAutospacing="0" w:after="0" w:afterAutospacing="0" w:line="360" w:lineRule="atLeast"/>
        <w:jc w:val="center"/>
        <w:rPr>
          <w:rFonts w:ascii="Times New Roman CYR" w:hAnsi="Times New Roman CYR"/>
          <w:color w:val="000000"/>
          <w:sz w:val="29"/>
          <w:szCs w:val="29"/>
        </w:rPr>
      </w:pPr>
      <w:r>
        <w:rPr>
          <w:rStyle w:val="pt-a0"/>
          <w:rFonts w:ascii="Times New Roman CYR" w:hAnsi="Times New Roman CYR"/>
          <w:color w:val="000000"/>
          <w:sz w:val="29"/>
          <w:szCs w:val="29"/>
        </w:rPr>
        <w:t>МОСКВА</w:t>
      </w:r>
    </w:p>
    <w:p w:rsidR="00C143E5" w:rsidRDefault="00C143E5" w:rsidP="00C143E5">
      <w:pPr>
        <w:pStyle w:val="pt-a-00000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7"/>
          <w:b/>
          <w:bCs/>
          <w:color w:val="000000"/>
          <w:sz w:val="28"/>
          <w:szCs w:val="28"/>
        </w:rPr>
        <w:t>О внесении изменений в Основы ценообразования в области регулируемых цен (тарифов) в электроэнергетике</w:t>
      </w:r>
    </w:p>
    <w:p w:rsidR="00C143E5" w:rsidRDefault="00C143E5" w:rsidP="00C143E5">
      <w:pPr>
        <w:pStyle w:val="pt-a-000009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Style w:val="pt-a0-000007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pt-a0-000007"/>
          <w:b/>
          <w:bCs/>
          <w:color w:val="000000"/>
          <w:sz w:val="28"/>
          <w:szCs w:val="28"/>
        </w:rPr>
        <w:t> о с т а н о в л я е т :</w:t>
      </w:r>
    </w:p>
    <w:p w:rsidR="00C143E5" w:rsidRDefault="00C143E5" w:rsidP="00C143E5">
      <w:pPr>
        <w:pStyle w:val="pt-a-000009"/>
        <w:spacing w:before="0" w:beforeAutospacing="0" w:after="0" w:afterAutospacing="0" w:line="36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10"/>
          <w:color w:val="000000"/>
          <w:sz w:val="28"/>
          <w:szCs w:val="28"/>
        </w:rPr>
        <w:t>Утвердить прилагаемые изменения в Основы ценообразования в области регулируемых цен (тарифов) в электроэнергетике, утвержденных постановлением Правительства Российской Федерации от 29 декабря 2011 г. № 1178 «О  ценообразовании в области регулируемых цен (тарифов) в электроэнергетике» (Собрание законодательства Российской Федерации, 2012, № 4, ст. 504; № 23, ст. 3008; 2013, № 31, ст. 4216; № 44, ст. 5754;</w:t>
      </w:r>
      <w:proofErr w:type="gramEnd"/>
      <w:r>
        <w:rPr>
          <w:rStyle w:val="pt-a0-000010"/>
          <w:color w:val="000000"/>
          <w:sz w:val="28"/>
          <w:szCs w:val="28"/>
        </w:rPr>
        <w:t xml:space="preserve"> № </w:t>
      </w:r>
      <w:proofErr w:type="gramStart"/>
      <w:r>
        <w:rPr>
          <w:rStyle w:val="pt-a0-000010"/>
          <w:color w:val="000000"/>
          <w:sz w:val="28"/>
          <w:szCs w:val="28"/>
        </w:rPr>
        <w:t>47, ст. 6105; 2014, № 8, ст. 813; № 9, ст. 919; № 25, ст. 3311; № 32, ст. 4521; 2015, № 5, ст. 827; № 20, ст. 2924; № 28, ст. 4244; № 37, ст. 5153; № 43, ст. 5975).</w:t>
      </w:r>
      <w:proofErr w:type="gramEnd"/>
    </w:p>
    <w:p w:rsidR="00C143E5" w:rsidRDefault="00C143E5" w:rsidP="00C143E5">
      <w:pPr>
        <w:pStyle w:val="pt-a-000004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t>Председатель Правительства</w:t>
      </w:r>
    </w:p>
    <w:p w:rsidR="00C143E5" w:rsidRDefault="00C143E5" w:rsidP="00C143E5">
      <w:pPr>
        <w:pStyle w:val="pt-a-000004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Российской Федерации</w:t>
      </w:r>
      <w:r>
        <w:rPr>
          <w:rStyle w:val="pt-a0-000010"/>
          <w:color w:val="000000"/>
          <w:sz w:val="28"/>
          <w:szCs w:val="28"/>
        </w:rPr>
        <w:t xml:space="preserve"> </w:t>
      </w:r>
      <w:proofErr w:type="spellStart"/>
      <w:r>
        <w:rPr>
          <w:rStyle w:val="pt-a0-000010"/>
          <w:color w:val="000000"/>
          <w:sz w:val="28"/>
          <w:szCs w:val="28"/>
        </w:rPr>
        <w:t>Д.Медведев</w:t>
      </w:r>
      <w:proofErr w:type="spellEnd"/>
    </w:p>
    <w:p w:rsidR="00C143E5" w:rsidRDefault="00C143E5" w:rsidP="00C143E5">
      <w:pPr>
        <w:pStyle w:val="pt-a-000015"/>
        <w:spacing w:before="0" w:beforeAutospacing="0" w:after="0" w:afterAutospacing="0" w:line="360" w:lineRule="atLeast"/>
        <w:ind w:left="5184"/>
        <w:jc w:val="center"/>
        <w:rPr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t>УТВЕРЖДЕНЫ</w:t>
      </w:r>
    </w:p>
    <w:p w:rsidR="00C143E5" w:rsidRDefault="00C143E5" w:rsidP="00C143E5">
      <w:pPr>
        <w:pStyle w:val="pt-a-000015"/>
        <w:spacing w:before="0" w:beforeAutospacing="0" w:after="0" w:afterAutospacing="0" w:line="360" w:lineRule="atLeast"/>
        <w:ind w:left="5184"/>
        <w:jc w:val="center"/>
        <w:rPr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t>постановлением Правительства</w:t>
      </w:r>
    </w:p>
    <w:p w:rsidR="00C143E5" w:rsidRDefault="00C143E5" w:rsidP="00C143E5">
      <w:pPr>
        <w:pStyle w:val="pt-a-000016"/>
        <w:spacing w:before="0" w:beforeAutospacing="0" w:after="0" w:afterAutospacing="0" w:line="302" w:lineRule="atLeast"/>
        <w:ind w:left="5184"/>
        <w:jc w:val="center"/>
        <w:rPr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t>Российской Федерации</w:t>
      </w:r>
    </w:p>
    <w:p w:rsidR="00C143E5" w:rsidRDefault="00C143E5" w:rsidP="00C143E5">
      <w:pPr>
        <w:pStyle w:val="pt-a-000017"/>
        <w:spacing w:before="0" w:beforeAutospacing="0" w:after="0" w:afterAutospacing="0" w:line="302" w:lineRule="atLeast"/>
        <w:ind w:left="5184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>от 2017 г. №</w:t>
      </w:r>
    </w:p>
    <w:p w:rsidR="00C143E5" w:rsidRDefault="00C143E5" w:rsidP="00C143E5">
      <w:pPr>
        <w:pStyle w:val="pt-a-00000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7"/>
          <w:b/>
          <w:bCs/>
          <w:color w:val="000000"/>
          <w:sz w:val="28"/>
          <w:szCs w:val="28"/>
        </w:rPr>
        <w:t xml:space="preserve">ИЗМЕНЕНИЯ </w:t>
      </w:r>
    </w:p>
    <w:p w:rsidR="00C143E5" w:rsidRDefault="00C143E5" w:rsidP="00C143E5">
      <w:pPr>
        <w:pStyle w:val="pt-a-00000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7"/>
          <w:b/>
          <w:bCs/>
          <w:color w:val="000000"/>
          <w:sz w:val="28"/>
          <w:szCs w:val="28"/>
        </w:rPr>
        <w:t>в Основы ценообразования в области регулируемых цен (тарифов) в электроэнергетике, утвержденных постановлением Правительства Российской Федерации от 29 декабря 2011 г. № 1178 «О  ценообразовании в области регулируемых цен (тарифов) в электроэнергетике»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1.</w:t>
      </w:r>
      <w:r>
        <w:rPr>
          <w:rStyle w:val="pt-a0-000024"/>
          <w:color w:val="000000"/>
          <w:sz w:val="28"/>
          <w:szCs w:val="28"/>
        </w:rPr>
        <w:t xml:space="preserve">В </w:t>
      </w:r>
      <w:proofErr w:type="gramStart"/>
      <w:r>
        <w:rPr>
          <w:rStyle w:val="pt-a0-000024"/>
          <w:color w:val="000000"/>
          <w:sz w:val="28"/>
          <w:szCs w:val="28"/>
        </w:rPr>
        <w:t>подпункте</w:t>
      </w:r>
      <w:proofErr w:type="gramEnd"/>
      <w:r>
        <w:rPr>
          <w:rStyle w:val="pt-a0-000024"/>
          <w:color w:val="000000"/>
          <w:sz w:val="28"/>
          <w:szCs w:val="28"/>
        </w:rPr>
        <w:t xml:space="preserve"> 3 пункта 18 слова «от 31 августа 2006 г. № 530» заменить словами «от 4 мая 2012 г. № 442»;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2.</w:t>
      </w:r>
      <w:r>
        <w:rPr>
          <w:rStyle w:val="pt-a0-000024"/>
          <w:color w:val="000000"/>
          <w:sz w:val="28"/>
          <w:szCs w:val="28"/>
        </w:rPr>
        <w:t xml:space="preserve">В </w:t>
      </w:r>
      <w:proofErr w:type="gramStart"/>
      <w:r>
        <w:rPr>
          <w:rStyle w:val="pt-a0-000024"/>
          <w:color w:val="000000"/>
          <w:sz w:val="28"/>
          <w:szCs w:val="28"/>
        </w:rPr>
        <w:t>абзаце</w:t>
      </w:r>
      <w:proofErr w:type="gramEnd"/>
      <w:r>
        <w:rPr>
          <w:rStyle w:val="pt-a0-000024"/>
          <w:color w:val="000000"/>
          <w:sz w:val="28"/>
          <w:szCs w:val="28"/>
        </w:rPr>
        <w:t xml:space="preserve"> первом и втором пункта 71 слова «коэффициенты от 0,7 до 1» заменить следующими словами «коэффициенты»;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3.</w:t>
      </w:r>
      <w:r>
        <w:rPr>
          <w:rStyle w:val="pt-a0-000024"/>
          <w:color w:val="000000"/>
          <w:sz w:val="28"/>
          <w:szCs w:val="28"/>
        </w:rPr>
        <w:t>Пункт 71 после абзаца первого дополнить абзацем следующего содержания:</w:t>
      </w:r>
    </w:p>
    <w:p w:rsidR="00C143E5" w:rsidRDefault="00C143E5" w:rsidP="00C143E5">
      <w:pPr>
        <w:pStyle w:val="pt-a8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24"/>
          <w:color w:val="000000"/>
          <w:sz w:val="28"/>
          <w:szCs w:val="28"/>
        </w:rPr>
        <w:t>«с 1 июля 2018 года – от 0,71 до 1; с 1 июля 2019 года – от 0,72 до 1; с 1 июля 2020 года – от 0,73 до 1; с 1 июля 2021 года – от 0,74 до 1; с 1 июля 2022 года – от 0,75 до 1; с 1 июля 2023 года – от 0,76 до 1;</w:t>
      </w:r>
      <w:proofErr w:type="gramEnd"/>
      <w:r>
        <w:rPr>
          <w:rStyle w:val="pt-a0-000024"/>
          <w:color w:val="000000"/>
          <w:sz w:val="28"/>
          <w:szCs w:val="28"/>
        </w:rPr>
        <w:t xml:space="preserve"> с 1 июля 2024 года – от 0,77 до 1; с 1 июля 2025 года – от 0,78 до 1; с 1 июля 2026 года – от 0,79 до 1; с 1 июля 2027 года – </w:t>
      </w:r>
      <w:proofErr w:type="gramStart"/>
      <w:r>
        <w:rPr>
          <w:rStyle w:val="pt-a0-000024"/>
          <w:color w:val="000000"/>
          <w:sz w:val="28"/>
          <w:szCs w:val="28"/>
        </w:rPr>
        <w:t>от</w:t>
      </w:r>
      <w:proofErr w:type="gramEnd"/>
      <w:r>
        <w:rPr>
          <w:rStyle w:val="pt-a0-000024"/>
          <w:color w:val="000000"/>
          <w:sz w:val="28"/>
          <w:szCs w:val="28"/>
        </w:rPr>
        <w:t xml:space="preserve"> 0,8 до 1.»;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4.</w:t>
      </w:r>
      <w:r>
        <w:rPr>
          <w:rStyle w:val="pt-a0-000024"/>
          <w:color w:val="000000"/>
          <w:sz w:val="28"/>
          <w:szCs w:val="28"/>
        </w:rPr>
        <w:t>Пункт 71 после абзаца второго дополнить абзацем следующего содержания:</w:t>
      </w:r>
    </w:p>
    <w:p w:rsidR="00C143E5" w:rsidRDefault="00C143E5" w:rsidP="00C143E5">
      <w:pPr>
        <w:pStyle w:val="pt-a8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24"/>
          <w:color w:val="000000"/>
          <w:sz w:val="28"/>
          <w:szCs w:val="28"/>
        </w:rPr>
        <w:t>«с 1 июля 2018 года – от 0,71 до 1; с 1 июля 2019 года – от 0,72 до 1; с 1 июля 2020 года – от 0,73 до 1; с 1 июля 2021 года – от 0,74 до 1; с 1 июля 2022 года – от 0,75 до 1; с 1 июля 2023 года – от 0,76 до 1;</w:t>
      </w:r>
      <w:proofErr w:type="gramEnd"/>
      <w:r>
        <w:rPr>
          <w:rStyle w:val="pt-a0-000024"/>
          <w:color w:val="000000"/>
          <w:sz w:val="28"/>
          <w:szCs w:val="28"/>
        </w:rPr>
        <w:t xml:space="preserve"> с 1 июля 2024 года – от 0,77 до 1; с 1 июля 2025 года – от 0,78 до 1; с 1 июля 2026 года – от 0,79 до 1; с 1 июля 2027 года – </w:t>
      </w:r>
      <w:proofErr w:type="gramStart"/>
      <w:r>
        <w:rPr>
          <w:rStyle w:val="pt-a0-000024"/>
          <w:color w:val="000000"/>
          <w:sz w:val="28"/>
          <w:szCs w:val="28"/>
        </w:rPr>
        <w:t>от</w:t>
      </w:r>
      <w:proofErr w:type="gramEnd"/>
      <w:r>
        <w:rPr>
          <w:rStyle w:val="pt-a0-000024"/>
          <w:color w:val="000000"/>
          <w:sz w:val="28"/>
          <w:szCs w:val="28"/>
        </w:rPr>
        <w:t xml:space="preserve"> 0,8 до 1.»;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5.</w:t>
      </w:r>
      <w:r>
        <w:rPr>
          <w:rStyle w:val="pt-a0-000024"/>
          <w:color w:val="000000"/>
          <w:sz w:val="28"/>
          <w:szCs w:val="28"/>
        </w:rPr>
        <w:t>Изложить абзац второй пункта 81(5) в следующей редакции: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«предельная величина перекрестного субсидирования в тарифах на передачу электрической энергии, утвержденная Правительством Российской Федерации на соответствующий год</w:t>
      </w:r>
      <w:proofErr w:type="gramStart"/>
      <w:r>
        <w:rPr>
          <w:rStyle w:val="pt-a0-000024"/>
          <w:color w:val="000000"/>
          <w:sz w:val="28"/>
          <w:szCs w:val="28"/>
        </w:rPr>
        <w:t>;»</w:t>
      </w:r>
      <w:proofErr w:type="gramEnd"/>
      <w:r>
        <w:rPr>
          <w:rStyle w:val="pt-a0-000024"/>
          <w:color w:val="000000"/>
          <w:sz w:val="28"/>
          <w:szCs w:val="28"/>
        </w:rPr>
        <w:t>;</w:t>
      </w:r>
    </w:p>
    <w:p w:rsidR="00C143E5" w:rsidRDefault="00C143E5" w:rsidP="00C143E5">
      <w:pPr>
        <w:pStyle w:val="pt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3"/>
          <w:color w:val="000000"/>
          <w:sz w:val="28"/>
          <w:szCs w:val="28"/>
        </w:rPr>
        <w:t>6.</w:t>
      </w:r>
      <w:r>
        <w:rPr>
          <w:rStyle w:val="pt-a0-000024"/>
          <w:color w:val="000000"/>
          <w:sz w:val="28"/>
          <w:szCs w:val="28"/>
        </w:rPr>
        <w:t>Приложение № 6 к Основам ценообразования в области регулируемых цен (тарифов) в электроэнергетике изложить в следующей редакции:</w:t>
      </w:r>
    </w:p>
    <w:p w:rsidR="00C143E5" w:rsidRDefault="00C143E5" w:rsidP="00C143E5">
      <w:pPr>
        <w:pStyle w:val="pt-a-00000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«Порядок расчета, утверждения и </w:t>
      </w:r>
      <w:proofErr w:type="gramStart"/>
      <w:r>
        <w:rPr>
          <w:rStyle w:val="pt-a0-000024"/>
          <w:color w:val="000000"/>
          <w:sz w:val="28"/>
          <w:szCs w:val="28"/>
        </w:rPr>
        <w:t>контроля за</w:t>
      </w:r>
      <w:proofErr w:type="gramEnd"/>
      <w:r>
        <w:rPr>
          <w:rStyle w:val="pt-a0-000024"/>
          <w:color w:val="000000"/>
          <w:sz w:val="28"/>
          <w:szCs w:val="28"/>
        </w:rPr>
        <w:t xml:space="preserve"> предельной величиной перекрестного субсидирования по субъектам Российской Федерации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1. </w:t>
      </w:r>
      <w:proofErr w:type="gramStart"/>
      <w:r>
        <w:rPr>
          <w:rStyle w:val="pt-a0-000024"/>
          <w:color w:val="000000"/>
          <w:sz w:val="28"/>
          <w:szCs w:val="28"/>
        </w:rPr>
        <w:t>Федеральный орган исполнительной власти в области государственного регулирования тарифов осуществляет расчет предельной величины перекрестного субсидирования по субъектам Российской Федерации с учетом информации об основных макроэкономических показателях прогноза социально-экономического развития Российской Федерации на очередной финансовый год и плановый период, а также с учетом предложений органов исполнительной власти субъекта Российской Федерации по установлению предельных уровней тарифов на услуги по передаче электрической энергии</w:t>
      </w:r>
      <w:proofErr w:type="gramEnd"/>
      <w:r>
        <w:rPr>
          <w:rStyle w:val="pt-a0-000024"/>
          <w:color w:val="000000"/>
          <w:sz w:val="28"/>
          <w:szCs w:val="28"/>
        </w:rPr>
        <w:t xml:space="preserve"> и предельных уровней тарифов на электрическую энергию, поставляемую населению и приравненным к нему категориям потребителей на соответствующий период регулирования по субъектам Российской Федерации. 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24"/>
          <w:color w:val="000000"/>
          <w:sz w:val="28"/>
          <w:szCs w:val="28"/>
        </w:rPr>
        <w:t xml:space="preserve">Федеральная антимонопольная служба в течение 25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направляет в Правительство Российской Федерации по согласованию с Минэнерго России и Минэкономразвития России предложения по предельным величинам перекрестного субсидирования по субъектам Российской Федерации на очередной период регулирования, исходя из </w:t>
      </w:r>
      <w:proofErr w:type="spellStart"/>
      <w:r>
        <w:rPr>
          <w:rStyle w:val="pt-a0-000024"/>
          <w:color w:val="000000"/>
          <w:sz w:val="28"/>
          <w:szCs w:val="28"/>
        </w:rPr>
        <w:t>непревышения</w:t>
      </w:r>
      <w:proofErr w:type="spellEnd"/>
      <w:proofErr w:type="gramEnd"/>
      <w:r>
        <w:rPr>
          <w:rStyle w:val="pt-a0-000024"/>
          <w:color w:val="000000"/>
          <w:sz w:val="28"/>
          <w:szCs w:val="28"/>
        </w:rPr>
        <w:t xml:space="preserve"> суммарной величины перекрестного субсидирования установленной на год предшествующий периоду регулирования.</w:t>
      </w:r>
    </w:p>
    <w:p w:rsidR="00C143E5" w:rsidRDefault="00C143E5" w:rsidP="00C143E5">
      <w:pPr>
        <w:pStyle w:val="pt-a8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2. Предельная величина перекрестного субсидирования для S- </w:t>
      </w:r>
      <w:proofErr w:type="spellStart"/>
      <w:r>
        <w:rPr>
          <w:rStyle w:val="pt-a0-000024"/>
          <w:color w:val="000000"/>
          <w:sz w:val="28"/>
          <w:szCs w:val="28"/>
        </w:rPr>
        <w:t>го</w:t>
      </w:r>
      <w:proofErr w:type="spellEnd"/>
      <w:r>
        <w:rPr>
          <w:rStyle w:val="pt-a0-000024"/>
          <w:color w:val="000000"/>
          <w:sz w:val="28"/>
          <w:szCs w:val="28"/>
        </w:rPr>
        <w:t xml:space="preserve"> субъекта Российской Федерации на очередной период рассчитывается по следующей формуле:</w:t>
      </w:r>
    </w:p>
    <w:p w:rsidR="00C143E5" w:rsidRDefault="00C143E5" w:rsidP="00C143E5">
      <w:pPr>
        <w:pStyle w:val="pt-a8-000027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(1), где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(2)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, (2.1)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(2.2)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(2.3)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(3)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(3.1)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(3.2)</w:t>
      </w:r>
    </w:p>
    <w:p w:rsidR="00C143E5" w:rsidRDefault="00C143E5" w:rsidP="00C143E5">
      <w:pPr>
        <w:pStyle w:val="pt-a8-000028"/>
        <w:spacing w:before="0" w:beforeAutospacing="0" w:after="0" w:afterAutospacing="0" w:line="302" w:lineRule="atLeast"/>
        <w:ind w:left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(3.3)</w:t>
      </w:r>
    </w:p>
    <w:p w:rsidR="00C143E5" w:rsidRDefault="00C143E5" w:rsidP="00C143E5">
      <w:pPr>
        <w:pStyle w:val="pt-a-000029"/>
        <w:spacing w:before="0" w:beforeAutospacing="0" w:after="0" w:afterAutospacing="0" w:line="302" w:lineRule="atLeast"/>
        <w:ind w:left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где:</w:t>
      </w:r>
    </w:p>
    <w:p w:rsidR="00C143E5" w:rsidRDefault="00C143E5" w:rsidP="00C143E5">
      <w:pPr>
        <w:pStyle w:val="pt-a-000029"/>
        <w:spacing w:before="0" w:beforeAutospacing="0" w:after="0" w:afterAutospacing="0" w:line="302" w:lineRule="atLeast"/>
        <w:ind w:left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–тариф на электрическую энергию, поставляемую населению и приравненным к нему категориям потребителей без учета НДС;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индекс прироста тарифов на услуги по передаче электрической энергии;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I - прогнозный индекс потребительских цен на расчетный период регулирования в соответствии с Прогнозом социально-экономического развития Российской Федерации;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индикативная цена на электрическую энергию для населения и приравненных к нему категорий потребителей на территориях ценовых и </w:t>
      </w:r>
      <w:r>
        <w:rPr>
          <w:rStyle w:val="pt-a0-000024"/>
          <w:color w:val="000000"/>
          <w:sz w:val="28"/>
          <w:szCs w:val="28"/>
        </w:rPr>
        <w:lastRenderedPageBreak/>
        <w:t>неценовых зон оптового рынка, утвержденная Федеральной антимонопольной службой, на второе полугодие расчетного периода регулирования (i);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объем электрической энергии, покупаемой для населения на оптовом рынке электрической энергии и мощности, учтенный в сводном прогнозном балансе расчетного периода регулирования (i);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индикативная цена на электрическую мощность для населения и приравненных к нему категорий потребителей на территориях ценовых и неценовых зон оптового рынка, утвержденная Федеральной антимонопольной службой, на второе полугодие расчетного периода регулирования (i);</w:t>
      </w:r>
    </w:p>
    <w:p w:rsidR="00C143E5" w:rsidRDefault="00C143E5" w:rsidP="00C143E5">
      <w:pPr>
        <w:pStyle w:val="pt-a-000025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суммарный объем электрической мощности, покупаемой для населения на оптовом рынке электрической энергии и мощности, учтенный в сводном прогнозном балансе расчетного периода регулирования (i);</w:t>
      </w:r>
    </w:p>
    <w:p w:rsidR="00C143E5" w:rsidRDefault="00C143E5" w:rsidP="00C143E5">
      <w:pPr>
        <w:pStyle w:val="pt-consplusnormal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– средневзвешенная величина сбытовой надбавки</w:t>
      </w:r>
      <w:proofErr w:type="gramStart"/>
      <w:r>
        <w:rPr>
          <w:rStyle w:val="pt-a0-000024"/>
          <w:color w:val="000000"/>
          <w:sz w:val="28"/>
          <w:szCs w:val="28"/>
        </w:rPr>
        <w:t xml:space="preserve"> ,</w:t>
      </w:r>
      <w:proofErr w:type="gramEnd"/>
      <w:r>
        <w:rPr>
          <w:rStyle w:val="pt-a0-000024"/>
          <w:color w:val="000000"/>
          <w:sz w:val="28"/>
          <w:szCs w:val="28"/>
        </w:rPr>
        <w:t xml:space="preserve"> установленная для населения на второе полугодие расчетного периода регулирования (i);</w:t>
      </w:r>
    </w:p>
    <w:p w:rsidR="00C143E5" w:rsidRDefault="00C143E5" w:rsidP="00C143E5">
      <w:pPr>
        <w:pStyle w:val="pt-consplusnormal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сумма тарифов на иные услуги, оказание которых является неотъемлемой частью процесса снабжения электрической энергией, регулируемого периода (i);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население и (или) приравненные к населению категории потребителей, в </w:t>
      </w:r>
      <w:proofErr w:type="spellStart"/>
      <w:r>
        <w:rPr>
          <w:rStyle w:val="pt-a0-000024"/>
          <w:color w:val="000000"/>
          <w:sz w:val="28"/>
          <w:szCs w:val="28"/>
        </w:rPr>
        <w:t>т.ч</w:t>
      </w:r>
      <w:proofErr w:type="spellEnd"/>
      <w:r>
        <w:rPr>
          <w:rStyle w:val="pt-a0-000024"/>
          <w:color w:val="000000"/>
          <w:sz w:val="28"/>
          <w:szCs w:val="28"/>
        </w:rPr>
        <w:t>.:</w:t>
      </w:r>
    </w:p>
    <w:p w:rsidR="00C143E5" w:rsidRDefault="00C143E5" w:rsidP="00C143E5">
      <w:pPr>
        <w:pStyle w:val="pt-a9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население, за исключением населения, указанного в </w:t>
      </w:r>
      <w:hyperlink r:id="rId5" w:history="1">
        <w:r>
          <w:rPr>
            <w:rStyle w:val="pt-a0-000010"/>
            <w:color w:val="000000"/>
            <w:sz w:val="28"/>
            <w:szCs w:val="28"/>
            <w:u w:val="single"/>
          </w:rPr>
          <w:t>пункте</w:t>
        </w:r>
      </w:hyperlink>
      <w:r>
        <w:rPr>
          <w:rStyle w:val="pt-a0-000010"/>
          <w:color w:val="000000"/>
          <w:sz w:val="28"/>
          <w:szCs w:val="28"/>
        </w:rPr>
        <w:t xml:space="preserve"> </w:t>
      </w:r>
      <w:r>
        <w:rPr>
          <w:rStyle w:val="pt-a0-000024"/>
          <w:color w:val="000000"/>
          <w:sz w:val="28"/>
          <w:szCs w:val="28"/>
        </w:rPr>
        <w:t xml:space="preserve">71 (1) Основ ценообразования </w:t>
      </w:r>
      <w:r>
        <w:rPr>
          <w:rStyle w:val="pt-a0-000010"/>
          <w:color w:val="000000"/>
          <w:sz w:val="28"/>
          <w:szCs w:val="28"/>
        </w:rPr>
        <w:t>в области регулируемых цен (тарифов) в электроэнергетике</w:t>
      </w:r>
      <w:r>
        <w:rPr>
          <w:rStyle w:val="pt-a0-000024"/>
          <w:color w:val="000000"/>
          <w:sz w:val="28"/>
          <w:szCs w:val="28"/>
        </w:rPr>
        <w:t>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население, проживающее в городах в домах с электроплитами, с учетом </w:t>
      </w:r>
      <w:hyperlink r:id="rId6" w:history="1">
        <w:proofErr w:type="gramStart"/>
        <w:r>
          <w:rPr>
            <w:rStyle w:val="pt-a0-000030"/>
            <w:rFonts w:ascii="Times New Roman CYR" w:hAnsi="Times New Roman CYR"/>
            <w:color w:val="000000"/>
            <w:sz w:val="28"/>
            <w:szCs w:val="28"/>
            <w:u w:val="single"/>
          </w:rPr>
          <w:t>пункт</w:t>
        </w:r>
        <w:proofErr w:type="gramEnd"/>
      </w:hyperlink>
      <w:r>
        <w:rPr>
          <w:rStyle w:val="pt-a0-000010"/>
          <w:color w:val="000000"/>
          <w:sz w:val="28"/>
          <w:szCs w:val="28"/>
        </w:rPr>
        <w:t>а</w:t>
      </w:r>
      <w:r>
        <w:rPr>
          <w:rStyle w:val="pt-a0-000030"/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Style w:val="pt-a0-000031"/>
          <w:rFonts w:ascii="Times New Roman CYR" w:hAnsi="Times New Roman CYR"/>
          <w:color w:val="000000"/>
          <w:sz w:val="28"/>
          <w:szCs w:val="28"/>
        </w:rPr>
        <w:t>71 (1)</w:t>
      </w:r>
      <w:r>
        <w:rPr>
          <w:rStyle w:val="pt-a0-000024"/>
          <w:color w:val="000000"/>
          <w:sz w:val="28"/>
          <w:szCs w:val="28"/>
        </w:rPr>
        <w:t xml:space="preserve"> Основ ценообразования </w:t>
      </w:r>
      <w:r>
        <w:rPr>
          <w:rStyle w:val="pt-a0-000030"/>
          <w:rFonts w:ascii="Times New Roman CYR" w:hAnsi="Times New Roman CYR"/>
          <w:color w:val="000000"/>
          <w:sz w:val="28"/>
          <w:szCs w:val="28"/>
        </w:rPr>
        <w:t>в области регулируемых цен (тарифов) в электроэнергетике</w:t>
      </w:r>
      <w:r>
        <w:rPr>
          <w:rStyle w:val="pt-a0-000024"/>
          <w:color w:val="000000"/>
          <w:sz w:val="28"/>
          <w:szCs w:val="28"/>
        </w:rPr>
        <w:t>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население, проживающее в сельских населенных пунктах, с учетом </w:t>
      </w:r>
      <w:hyperlink r:id="rId7" w:history="1">
        <w:proofErr w:type="gramStart"/>
        <w:r>
          <w:rPr>
            <w:rStyle w:val="pt-a0-000030"/>
            <w:rFonts w:ascii="Times New Roman CYR" w:hAnsi="Times New Roman CYR"/>
            <w:color w:val="000000"/>
            <w:sz w:val="28"/>
            <w:szCs w:val="28"/>
            <w:u w:val="single"/>
          </w:rPr>
          <w:t>пункт</w:t>
        </w:r>
        <w:proofErr w:type="gramEnd"/>
      </w:hyperlink>
      <w:r>
        <w:rPr>
          <w:rStyle w:val="pt-a0-000010"/>
          <w:color w:val="000000"/>
          <w:sz w:val="28"/>
          <w:szCs w:val="28"/>
        </w:rPr>
        <w:t>а</w:t>
      </w:r>
      <w:r>
        <w:rPr>
          <w:rStyle w:val="pt-a0-000030"/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Style w:val="pt-a0-000031"/>
          <w:rFonts w:ascii="Times New Roman CYR" w:hAnsi="Times New Roman CYR"/>
          <w:color w:val="000000"/>
          <w:sz w:val="28"/>
          <w:szCs w:val="28"/>
        </w:rPr>
        <w:t>71 (1)</w:t>
      </w:r>
      <w:r>
        <w:rPr>
          <w:rStyle w:val="pt-a0-000024"/>
          <w:color w:val="000000"/>
          <w:sz w:val="28"/>
          <w:szCs w:val="28"/>
        </w:rPr>
        <w:t xml:space="preserve"> Основ ценообразования </w:t>
      </w:r>
      <w:r>
        <w:rPr>
          <w:rStyle w:val="pt-a0-000030"/>
          <w:rFonts w:ascii="Times New Roman CYR" w:hAnsi="Times New Roman CYR"/>
          <w:color w:val="000000"/>
          <w:sz w:val="28"/>
          <w:szCs w:val="28"/>
        </w:rPr>
        <w:t>в области регулируемых цен (тарифов) в электроэнергетике</w:t>
      </w:r>
      <w:r>
        <w:rPr>
          <w:rStyle w:val="pt-a0-000024"/>
          <w:color w:val="000000"/>
          <w:sz w:val="28"/>
          <w:szCs w:val="28"/>
        </w:rPr>
        <w:t>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приравненные категории потребителей, определенные перечнем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утвержденные приложением 1 к Основам ценообразования;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вид тарифа, в том числе: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- </w:t>
      </w:r>
      <w:proofErr w:type="spellStart"/>
      <w:r>
        <w:rPr>
          <w:rStyle w:val="pt-a0-000024"/>
          <w:color w:val="000000"/>
          <w:sz w:val="28"/>
          <w:szCs w:val="28"/>
        </w:rPr>
        <w:t>одноставочный</w:t>
      </w:r>
      <w:proofErr w:type="spellEnd"/>
      <w:r>
        <w:rPr>
          <w:rStyle w:val="pt-a0-000024"/>
          <w:color w:val="000000"/>
          <w:sz w:val="28"/>
          <w:szCs w:val="28"/>
        </w:rPr>
        <w:t xml:space="preserve"> тариф для населения на электрическую энергию (мощность)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тариф на электрическую энергию (мощность), дифференцированный по двум зонам суток (ночь)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тариф на электрическую энергию (мощность), дифференцированный по двум зонам суток (день)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тариф на электрическую энергию (мощность), дифференцированный по трем зонам суток (ночь)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- тариф на электрическую энергию (мощность), дифференцированный по трем зонам суток (</w:t>
      </w:r>
      <w:proofErr w:type="spellStart"/>
      <w:r>
        <w:rPr>
          <w:rStyle w:val="pt-a0-000024"/>
          <w:color w:val="000000"/>
          <w:sz w:val="28"/>
          <w:szCs w:val="28"/>
        </w:rPr>
        <w:t>полупик</w:t>
      </w:r>
      <w:proofErr w:type="spellEnd"/>
      <w:r>
        <w:rPr>
          <w:rStyle w:val="pt-a0-000024"/>
          <w:color w:val="000000"/>
          <w:sz w:val="28"/>
          <w:szCs w:val="28"/>
        </w:rPr>
        <w:t>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- тариф на электрическую энергию (мощность), дифференцированный по трем зонам суток (пик) (в случае введения социальной нормы рассчитываются отдельно в пределах социальной нормы и сверх социальной нормы);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3. </w:t>
      </w:r>
      <w:proofErr w:type="gramStart"/>
      <w:r>
        <w:rPr>
          <w:rStyle w:val="pt-a0-000024"/>
          <w:color w:val="000000"/>
          <w:sz w:val="28"/>
          <w:szCs w:val="28"/>
        </w:rPr>
        <w:t>Орган исполнительной власти субъекта Российской Федерации в области государственного регулирования тарифов до 15 июля года, предшествующего периоду, на который устанавливается предельная величина перекрестного субсидирования по субъектам Российской Федерации, направляет в федеральный орган исполнительной власти в области государственного регулирования тарифов предложение о величине перекрестного субсидирования сложившейся за предыдущий период и прогнозируемой на период регулирования.</w:t>
      </w:r>
      <w:proofErr w:type="gramEnd"/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 Предложение органа исполнительной власти субъекта Российской Федерации в области государственного регулирования тарифов формируется с учетом: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инвестиционных программ регулируемых организаций на территории субъекта Российской Федерации;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прогнозируемых тарифов и надбавок к тарифам регулируемых организаций на последующий год;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объемов потребления электрической энергии, в том числе в соответствии с показаниями общедомовых и индивидуальных приборов учета (данные не менее чем за 2 предыдущих календарных года);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установленных социальных норм потребления коммунальных услуг.</w:t>
      </w:r>
    </w:p>
    <w:p w:rsidR="00C143E5" w:rsidRDefault="00C143E5" w:rsidP="00C143E5">
      <w:pPr>
        <w:pStyle w:val="pt-a-000006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Порядок мониторинга и </w:t>
      </w:r>
      <w:proofErr w:type="gramStart"/>
      <w:r>
        <w:rPr>
          <w:rStyle w:val="pt-a0-000024"/>
          <w:color w:val="000000"/>
          <w:sz w:val="28"/>
          <w:szCs w:val="28"/>
        </w:rPr>
        <w:t>контроля за</w:t>
      </w:r>
      <w:proofErr w:type="gramEnd"/>
      <w:r>
        <w:rPr>
          <w:rStyle w:val="pt-a0-000024"/>
          <w:color w:val="000000"/>
          <w:sz w:val="28"/>
          <w:szCs w:val="28"/>
        </w:rPr>
        <w:t xml:space="preserve"> соблюдением предельной величины перекрестного субсидирования по субъектам Российской Федерации 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5. Превышение предельной величины перекрестного субсидирования по субъекту Российской Федерации не допускается. В </w:t>
      </w:r>
      <w:proofErr w:type="gramStart"/>
      <w:r>
        <w:rPr>
          <w:rStyle w:val="pt-a0-000024"/>
          <w:color w:val="000000"/>
          <w:sz w:val="28"/>
          <w:szCs w:val="28"/>
        </w:rPr>
        <w:t>случае</w:t>
      </w:r>
      <w:proofErr w:type="gramEnd"/>
      <w:r>
        <w:rPr>
          <w:rStyle w:val="pt-a0-000024"/>
          <w:color w:val="000000"/>
          <w:sz w:val="28"/>
          <w:szCs w:val="28"/>
        </w:rPr>
        <w:t xml:space="preserve"> выявления превышения разница подлежит компенсации из бюджета субъекта Российской Федерации.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6. Проведение мониторинга соблюдения предельной величины перекрестного субсидирования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данных, представляемых органом исполнительной власти субъекта Российской Федерации в области государственного регулирования тарифов, включая электронное представление данных, и форм статистической отчетности, представляемых регулируемыми организациями.</w:t>
      </w:r>
    </w:p>
    <w:p w:rsidR="00C143E5" w:rsidRDefault="00C143E5" w:rsidP="00C143E5">
      <w:pPr>
        <w:pStyle w:val="pt-a-000026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7. </w:t>
      </w:r>
      <w:proofErr w:type="gramStart"/>
      <w:r>
        <w:rPr>
          <w:rStyle w:val="pt-a0-000024"/>
          <w:color w:val="000000"/>
          <w:sz w:val="28"/>
          <w:szCs w:val="28"/>
        </w:rPr>
        <w:t>В случае выявления до 1 июня текущего года превышения величины перекрестного субсидирования по субъекту Российской Федерации над утвержденной Правительством Российской Федерации по субъекту Российской Федерации федеральный орган исполнительной власти в области государственного регулирования тарифов направляет в орган исполнительной власти субъекта Российской Федерации в области государственного регулирования тарифов обязательное для исполнения предписание о пересмотре установленных цен (тарифов) в электроэнергетике.</w:t>
      </w:r>
      <w:proofErr w:type="gramEnd"/>
    </w:p>
    <w:p w:rsidR="00782521" w:rsidRDefault="00782521">
      <w:bookmarkStart w:id="0" w:name="_GoBack"/>
      <w:bookmarkEnd w:id="0"/>
    </w:p>
    <w:sectPr w:rsidR="00782521" w:rsidSect="00437061">
      <w:type w:val="continuous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5"/>
    <w:rsid w:val="00437061"/>
    <w:rsid w:val="00782521"/>
    <w:rsid w:val="00C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143E5"/>
  </w:style>
  <w:style w:type="paragraph" w:customStyle="1" w:styleId="pt-a-000000">
    <w:name w:val="pt-a-000000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C143E5"/>
  </w:style>
  <w:style w:type="paragraph" w:customStyle="1" w:styleId="pt-a-000003">
    <w:name w:val="pt-a-000003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C143E5"/>
  </w:style>
  <w:style w:type="paragraph" w:customStyle="1" w:styleId="pt-a-000009">
    <w:name w:val="pt-a-00000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143E5"/>
  </w:style>
  <w:style w:type="character" w:customStyle="1" w:styleId="pt-a0-000012">
    <w:name w:val="pt-a0-000012"/>
    <w:basedOn w:val="a0"/>
    <w:rsid w:val="00C143E5"/>
  </w:style>
  <w:style w:type="paragraph" w:customStyle="1" w:styleId="pt-a-000015">
    <w:name w:val="pt-a-000015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C143E5"/>
  </w:style>
  <w:style w:type="paragraph" w:customStyle="1" w:styleId="pt-000022">
    <w:name w:val="pt-000022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C143E5"/>
  </w:style>
  <w:style w:type="character" w:customStyle="1" w:styleId="pt-a0-000024">
    <w:name w:val="pt-a0-000024"/>
    <w:basedOn w:val="a0"/>
    <w:rsid w:val="00C143E5"/>
  </w:style>
  <w:style w:type="paragraph" w:customStyle="1" w:styleId="pt-a8">
    <w:name w:val="pt-a8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8-000027">
    <w:name w:val="pt-a8-000027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8-000028">
    <w:name w:val="pt-a8-000028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C143E5"/>
  </w:style>
  <w:style w:type="character" w:customStyle="1" w:styleId="pt-a0-000031">
    <w:name w:val="pt-a0-000031"/>
    <w:basedOn w:val="a0"/>
    <w:rsid w:val="00C1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143E5"/>
  </w:style>
  <w:style w:type="paragraph" w:customStyle="1" w:styleId="pt-a-000000">
    <w:name w:val="pt-a-000000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C143E5"/>
  </w:style>
  <w:style w:type="paragraph" w:customStyle="1" w:styleId="pt-a-000003">
    <w:name w:val="pt-a-000003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C143E5"/>
  </w:style>
  <w:style w:type="paragraph" w:customStyle="1" w:styleId="pt-a-000009">
    <w:name w:val="pt-a-00000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143E5"/>
  </w:style>
  <w:style w:type="character" w:customStyle="1" w:styleId="pt-a0-000012">
    <w:name w:val="pt-a0-000012"/>
    <w:basedOn w:val="a0"/>
    <w:rsid w:val="00C143E5"/>
  </w:style>
  <w:style w:type="paragraph" w:customStyle="1" w:styleId="pt-a-000015">
    <w:name w:val="pt-a-000015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C143E5"/>
  </w:style>
  <w:style w:type="paragraph" w:customStyle="1" w:styleId="pt-000022">
    <w:name w:val="pt-000022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C143E5"/>
  </w:style>
  <w:style w:type="character" w:customStyle="1" w:styleId="pt-a0-000024">
    <w:name w:val="pt-a0-000024"/>
    <w:basedOn w:val="a0"/>
    <w:rsid w:val="00C143E5"/>
  </w:style>
  <w:style w:type="paragraph" w:customStyle="1" w:styleId="pt-a8">
    <w:name w:val="pt-a8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8-000027">
    <w:name w:val="pt-a8-000027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8-000028">
    <w:name w:val="pt-a8-000028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C143E5"/>
  </w:style>
  <w:style w:type="character" w:customStyle="1" w:styleId="pt-a0-000031">
    <w:name w:val="pt-a0-000031"/>
    <w:basedOn w:val="a0"/>
    <w:rsid w:val="00C1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07D440B44BD5DE43B58D1367555AE5D2AE473200D8FF171389376BF463B5992FF04F9E8U7F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07D440B44BD5DE43B58D1367555AE5D2AE473200D8FF171389376BF463B5992FF04F9E8U7FBJ" TargetMode="External"/><Relationship Id="rId5" Type="http://schemas.openxmlformats.org/officeDocument/2006/relationships/hyperlink" Target="consultantplus://offline/ref=EE707D440B44BD5DE43B58D1367555AE5D2AE473200D8FF171389376BF463B5992FF04F9E8U7F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Цыганова</dc:creator>
  <cp:lastModifiedBy>Людмила Юрьевна Цыганова</cp:lastModifiedBy>
  <cp:revision>1</cp:revision>
  <dcterms:created xsi:type="dcterms:W3CDTF">2017-08-09T02:15:00Z</dcterms:created>
  <dcterms:modified xsi:type="dcterms:W3CDTF">2017-08-09T02:16:00Z</dcterms:modified>
</cp:coreProperties>
</file>